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eastAsia="zh-CN"/>
        </w:rPr>
      </w:pPr>
      <w:r>
        <w:rPr>
          <w:rFonts w:hint="eastAsia" w:ascii="仿宋" w:hAnsi="仿宋" w:eastAsia="仿宋" w:cs="仿宋_GB2312"/>
          <w:kern w:val="0"/>
          <w:sz w:val="32"/>
          <w:szCs w:val="32"/>
          <w:shd w:val="clear" w:color="auto" w:fill="FFFFFF"/>
          <w:lang w:val="en"/>
        </w:rPr>
        <w:t>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小标宋简体" w:hAnsi="方正小标宋简体" w:eastAsia="方正小标宋简体" w:cs="方正小标宋简体"/>
          <w:bCs/>
          <w:kern w:val="0"/>
          <w:sz w:val="44"/>
          <w:szCs w:val="44"/>
          <w:highlight w:val="none"/>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泉州市医疗保障局关于</w:t>
      </w:r>
      <w:r>
        <w:rPr>
          <w:rFonts w:hint="eastAsia" w:ascii="方正小标宋简体" w:hAnsi="方正小标宋简体" w:eastAsia="方正小标宋简体" w:cs="方正小标宋简体"/>
          <w:bCs/>
          <w:kern w:val="0"/>
          <w:sz w:val="44"/>
          <w:szCs w:val="44"/>
          <w:highlight w:val="none"/>
          <w:lang w:eastAsia="zh-CN"/>
        </w:rPr>
        <w:t>建立</w:t>
      </w:r>
      <w:r>
        <w:rPr>
          <w:rFonts w:hint="eastAsia" w:ascii="方正小标宋简体" w:hAnsi="方正小标宋简体" w:eastAsia="方正小标宋简体" w:cs="方正小标宋简体"/>
          <w:bCs/>
          <w:kern w:val="0"/>
          <w:sz w:val="44"/>
          <w:szCs w:val="44"/>
          <w:highlight w:val="none"/>
        </w:rPr>
        <w:t>职工医保门诊医疗费用综合保障</w:t>
      </w:r>
      <w:r>
        <w:rPr>
          <w:rFonts w:hint="eastAsia" w:ascii="方正小标宋简体" w:hAnsi="方正小标宋简体" w:eastAsia="方正小标宋简体" w:cs="方正小标宋简体"/>
          <w:bCs/>
          <w:kern w:val="0"/>
          <w:sz w:val="44"/>
          <w:szCs w:val="44"/>
          <w:highlight w:val="none"/>
          <w:lang w:eastAsia="zh-CN"/>
        </w:rPr>
        <w:t>制度</w:t>
      </w:r>
      <w:r>
        <w:rPr>
          <w:rFonts w:hint="eastAsia" w:ascii="方正小标宋简体" w:hAnsi="方正小标宋简体" w:eastAsia="方正小标宋简体" w:cs="方正小标宋简体"/>
          <w:bCs/>
          <w:kern w:val="0"/>
          <w:sz w:val="44"/>
          <w:szCs w:val="44"/>
          <w:highlight w:val="none"/>
        </w:rPr>
        <w:t>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 w:hAnsi="楷体" w:eastAsia="楷体" w:cs="楷体"/>
          <w:bCs/>
          <w:kern w:val="0"/>
          <w:sz w:val="32"/>
          <w:szCs w:val="32"/>
          <w:highlight w:val="none"/>
          <w:lang w:val="en-US" w:eastAsia="zh-CN"/>
        </w:rPr>
      </w:pPr>
      <w:r>
        <w:rPr>
          <w:rFonts w:hint="eastAsia" w:ascii="楷体" w:hAnsi="楷体" w:eastAsia="楷体" w:cs="楷体"/>
          <w:bCs/>
          <w:kern w:val="0"/>
          <w:sz w:val="32"/>
          <w:szCs w:val="32"/>
          <w:highlight w:val="none"/>
          <w:lang w:val="en-US" w:eastAsia="zh-CN"/>
        </w:rPr>
        <w:t>（征求意见稿）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Cs/>
          <w:kern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sz w:val="32"/>
          <w:szCs w:val="32"/>
          <w:highlight w:val="none"/>
        </w:rPr>
        <w:t>各县（市、区）医保分局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市医疗保障基金中心，市医疗保障基</w:t>
      </w:r>
      <w:r>
        <w:rPr>
          <w:rFonts w:hint="eastAsia" w:ascii="仿宋" w:hAnsi="仿宋" w:eastAsia="仿宋" w:cs="仿宋"/>
          <w:color w:val="auto"/>
          <w:kern w:val="2"/>
          <w:sz w:val="32"/>
          <w:szCs w:val="32"/>
          <w:highlight w:val="none"/>
          <w:lang w:val="en-US" w:eastAsia="zh-CN" w:bidi="ar-SA"/>
        </w:rPr>
        <w:t>金监测中心，市属各相关医保定点单位：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val="en-US" w:eastAsia="zh-CN" w:bidi="ar-SA"/>
        </w:rPr>
        <w:t>根据《泉州市人民政府办公室关于印发泉州市职工基本医疗保险门诊共济保障机制管理规定的通知》（泉政办〔2022〕14号）和省上统一部署，为进一步提高职工医保门诊保障待遇水平，现就建立泉州市职工医保门诊医疗费用综合保障制度有关事项通知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建立职工医保门诊医疗费用综合保障制度</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职工医保参保对象在医保定点医疗机构发生的基本医保段年度累计门诊政策范围内医疗费用，根据政策范围内医疗费用（不含起付标准）个人自付情况</w:t>
      </w:r>
      <w:r>
        <w:rPr>
          <w:rFonts w:hint="default" w:ascii="仿宋" w:hAnsi="仿宋" w:eastAsia="仿宋" w:cs="仿宋"/>
          <w:color w:val="auto"/>
          <w:sz w:val="32"/>
          <w:szCs w:val="32"/>
          <w:highlight w:val="none"/>
          <w:lang w:val="en-US" w:eastAsia="zh-CN"/>
        </w:rPr>
        <w:t>实行分段阶梯式</w:t>
      </w:r>
      <w:r>
        <w:rPr>
          <w:rFonts w:hint="eastAsia" w:eastAsia="方正仿宋简体" w:cs="Times New Roman"/>
          <w:color w:val="auto"/>
          <w:w w:val="98"/>
          <w:sz w:val="32"/>
          <w:szCs w:val="32"/>
          <w:highlight w:val="none"/>
          <w:u w:val="none"/>
          <w:lang w:eastAsia="zh-CN"/>
        </w:rPr>
        <w:t>报销</w:t>
      </w:r>
      <w:r>
        <w:rPr>
          <w:rFonts w:hint="default" w:ascii="Times New Roman" w:hAnsi="Times New Roman" w:eastAsia="方正仿宋简体" w:cs="Times New Roman"/>
          <w:color w:val="auto"/>
          <w:w w:val="98"/>
          <w:sz w:val="32"/>
          <w:szCs w:val="32"/>
          <w:highlight w:val="none"/>
          <w:u w:val="none"/>
          <w:lang w:eastAsia="zh-CN"/>
        </w:rPr>
        <w:t>，</w:t>
      </w:r>
      <w:r>
        <w:rPr>
          <w:rFonts w:hint="eastAsia" w:ascii="仿宋" w:hAnsi="仿宋" w:eastAsia="仿宋" w:cs="仿宋"/>
          <w:color w:val="auto"/>
          <w:sz w:val="32"/>
          <w:szCs w:val="32"/>
          <w:highlight w:val="none"/>
          <w:lang w:val="en-US" w:eastAsia="zh-CN"/>
        </w:rPr>
        <w:t>具体如下：</w:t>
      </w:r>
    </w:p>
    <w:tbl>
      <w:tblPr>
        <w:tblStyle w:val="5"/>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2242"/>
        <w:gridCol w:w="903"/>
        <w:gridCol w:w="885"/>
        <w:gridCol w:w="1080"/>
        <w:gridCol w:w="1095"/>
        <w:gridCol w:w="133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887" w:type="dxa"/>
            <w:gridSpan w:val="2"/>
            <w:vMerge w:val="restart"/>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方正仿宋简体" w:cs="Times New Roman"/>
                <w:color w:val="auto"/>
                <w:sz w:val="24"/>
                <w:szCs w:val="24"/>
                <w:u w:val="none"/>
                <w:vertAlign w:val="baseline"/>
                <w:lang w:val="en-US" w:eastAsia="zh-CN"/>
              </w:rPr>
            </w:pPr>
            <w:bookmarkStart w:id="0" w:name="_GoBack"/>
            <w:r>
              <w:rPr>
                <w:rFonts w:hint="default" w:ascii="Times New Roman" w:hAnsi="Times New Roman" w:eastAsia="方正仿宋简体" w:cs="Times New Roman"/>
                <w:color w:val="auto"/>
                <w:sz w:val="24"/>
                <w:u w:val="none"/>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14605</wp:posOffset>
                      </wp:positionV>
                      <wp:extent cx="1836420" cy="1526540"/>
                      <wp:effectExtent l="3175" t="3810" r="8255" b="12700"/>
                      <wp:wrapNone/>
                      <wp:docPr id="2" name="直接箭头连接符 2"/>
                      <wp:cNvGraphicFramePr/>
                      <a:graphic xmlns:a="http://schemas.openxmlformats.org/drawingml/2006/main">
                        <a:graphicData uri="http://schemas.microsoft.com/office/word/2010/wordprocessingShape">
                          <wps:wsp>
                            <wps:cNvCnPr/>
                            <wps:spPr>
                              <a:xfrm>
                                <a:off x="0" y="0"/>
                                <a:ext cx="1836420" cy="152654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4.95pt;margin-top:1.15pt;height:120.2pt;width:144.6pt;z-index:251660288;mso-width-relative:page;mso-height-relative:page;" filled="f" stroked="t" coordsize="21600,21600" o:gfxdata="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tzksvXAAAACAEAAA8AAAAAAAAAAQAgAAAAIgAA&#10;AGRycy9kb3ducmV2LnhtbFBLAQIUABQAAAAIAIdO4kBXXseiCQIAAPwDAAAOAAAAAAAAAAEAIAAA&#10;ACYBAABkcnMvZTJvRG9jLnhtbFBLBQYAAAAABgAGAFkBAAChBQAAAAA=&#10;">
                      <v:fill on="f" focussize="0,0"/>
                      <v:stroke color="#000000" joinstyle="round"/>
                      <v:imagedata o:title=""/>
                      <o:lock v:ext="edit" aspectratio="f"/>
                    </v:shape>
                  </w:pict>
                </mc:Fallback>
              </mc:AlternateContent>
            </w:r>
            <w:bookmarkEnd w:id="0"/>
            <w:r>
              <w:rPr>
                <w:rFonts w:hint="default" w:ascii="Times New Roman" w:hAnsi="Times New Roman" w:eastAsia="方正仿宋简体" w:cs="Times New Roman"/>
                <w:color w:val="auto"/>
                <w:sz w:val="24"/>
                <w:szCs w:val="24"/>
                <w:u w:val="none"/>
                <w:vertAlign w:val="baseline"/>
                <w:lang w:val="en-US" w:eastAsia="zh-CN"/>
              </w:rPr>
              <w:t xml:space="preserve">     </w:t>
            </w:r>
            <w:r>
              <w:rPr>
                <w:rFonts w:hint="eastAsia" w:ascii="Times New Roman" w:hAnsi="Times New Roman" w:eastAsia="方正仿宋简体" w:cs="Times New Roman"/>
                <w:color w:val="auto"/>
                <w:sz w:val="24"/>
                <w:szCs w:val="24"/>
                <w:u w:val="none"/>
                <w:vertAlign w:val="baselin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1680" w:firstLineChars="700"/>
              <w:jc w:val="both"/>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医疗机构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项目</w:t>
            </w:r>
          </w:p>
        </w:tc>
        <w:tc>
          <w:tcPr>
            <w:tcW w:w="6528" w:type="dxa"/>
            <w:gridSpan w:val="6"/>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市域内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2887" w:type="dxa"/>
            <w:gridSpan w:val="2"/>
            <w:vMerge w:val="continue"/>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default" w:ascii="Times New Roman" w:hAnsi="Times New Roman" w:eastAsia="方正仿宋简体" w:cs="Times New Roman"/>
                <w:color w:val="auto"/>
                <w:sz w:val="24"/>
                <w:szCs w:val="24"/>
                <w:u w:val="none"/>
                <w:vertAlign w:val="baseline"/>
                <w:lang w:val="en-US" w:eastAsia="zh-CN"/>
              </w:rPr>
            </w:pPr>
          </w:p>
        </w:tc>
        <w:tc>
          <w:tcPr>
            <w:tcW w:w="1788"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三级医院</w:t>
            </w:r>
          </w:p>
        </w:tc>
        <w:tc>
          <w:tcPr>
            <w:tcW w:w="2175"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市属二级医院，县属三级、二级医院，三级中医医院、精神专科医院</w:t>
            </w:r>
            <w:r>
              <w:rPr>
                <w:rFonts w:hint="eastAsia" w:eastAsia="方正仿宋简体" w:cs="Times New Roman"/>
                <w:color w:val="auto"/>
                <w:sz w:val="24"/>
                <w:szCs w:val="24"/>
                <w:u w:val="none"/>
                <w:vertAlign w:val="baseline"/>
                <w:lang w:val="en-US" w:eastAsia="zh-CN"/>
              </w:rPr>
              <w:t>，</w:t>
            </w:r>
            <w:r>
              <w:rPr>
                <w:rFonts w:hint="default" w:ascii="Times New Roman" w:hAnsi="Times New Roman" w:eastAsia="方正仿宋简体" w:cs="Times New Roman"/>
                <w:color w:val="auto"/>
                <w:sz w:val="24"/>
                <w:szCs w:val="24"/>
                <w:u w:val="none"/>
                <w:vertAlign w:val="baseline"/>
                <w:lang w:val="en-US" w:eastAsia="zh-CN"/>
              </w:rPr>
              <w:t>民营医疗机构</w:t>
            </w:r>
          </w:p>
        </w:tc>
        <w:tc>
          <w:tcPr>
            <w:tcW w:w="2565"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二级中医医院，二级乡镇卫生院，一级和未定级医院（含卫生院），社区卫生服务中心及高校内设医务室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887"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工作状态</w:t>
            </w:r>
          </w:p>
        </w:tc>
        <w:tc>
          <w:tcPr>
            <w:tcW w:w="903"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在职</w:t>
            </w:r>
          </w:p>
        </w:tc>
        <w:tc>
          <w:tcPr>
            <w:tcW w:w="88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退休</w:t>
            </w:r>
          </w:p>
        </w:tc>
        <w:tc>
          <w:tcPr>
            <w:tcW w:w="1080"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方正仿宋简体" w:cs="Times New Roman"/>
                <w:color w:val="auto"/>
                <w:kern w:val="0"/>
                <w:sz w:val="24"/>
                <w:szCs w:val="24"/>
                <w:u w:val="none"/>
                <w:vertAlign w:val="baseline"/>
                <w:lang w:val="en-US" w:eastAsia="zh-CN" w:bidi="ar"/>
              </w:rPr>
            </w:pPr>
            <w:r>
              <w:rPr>
                <w:rFonts w:hint="default" w:ascii="Times New Roman" w:hAnsi="Times New Roman" w:eastAsia="方正仿宋简体" w:cs="Times New Roman"/>
                <w:color w:val="auto"/>
                <w:sz w:val="24"/>
                <w:szCs w:val="24"/>
                <w:u w:val="none"/>
                <w:vertAlign w:val="baseline"/>
                <w:lang w:val="en-US" w:eastAsia="zh-CN"/>
              </w:rPr>
              <w:t>在职</w:t>
            </w:r>
          </w:p>
        </w:tc>
        <w:tc>
          <w:tcPr>
            <w:tcW w:w="109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方正仿宋简体" w:cs="Times New Roman"/>
                <w:color w:val="auto"/>
                <w:kern w:val="0"/>
                <w:sz w:val="24"/>
                <w:szCs w:val="24"/>
                <w:u w:val="none"/>
                <w:vertAlign w:val="baseline"/>
                <w:lang w:val="en-US" w:eastAsia="zh-CN" w:bidi="ar"/>
              </w:rPr>
            </w:pPr>
            <w:r>
              <w:rPr>
                <w:rFonts w:hint="default" w:ascii="Times New Roman" w:hAnsi="Times New Roman" w:eastAsia="方正仿宋简体" w:cs="Times New Roman"/>
                <w:color w:val="auto"/>
                <w:sz w:val="24"/>
                <w:szCs w:val="24"/>
                <w:u w:val="none"/>
                <w:vertAlign w:val="baseline"/>
                <w:lang w:val="en-US" w:eastAsia="zh-CN"/>
              </w:rPr>
              <w:t>退休</w:t>
            </w:r>
          </w:p>
        </w:tc>
        <w:tc>
          <w:tcPr>
            <w:tcW w:w="1330"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方正仿宋简体" w:cs="Times New Roman"/>
                <w:color w:val="auto"/>
                <w:kern w:val="0"/>
                <w:sz w:val="24"/>
                <w:szCs w:val="24"/>
                <w:u w:val="none"/>
                <w:vertAlign w:val="baseline"/>
                <w:lang w:val="en-US" w:eastAsia="zh-CN" w:bidi="ar"/>
              </w:rPr>
            </w:pPr>
            <w:r>
              <w:rPr>
                <w:rFonts w:hint="default" w:ascii="Times New Roman" w:hAnsi="Times New Roman" w:eastAsia="方正仿宋简体" w:cs="Times New Roman"/>
                <w:color w:val="auto"/>
                <w:sz w:val="24"/>
                <w:szCs w:val="24"/>
                <w:u w:val="none"/>
                <w:vertAlign w:val="baseline"/>
                <w:lang w:val="en-US" w:eastAsia="zh-CN"/>
              </w:rPr>
              <w:t>在职</w:t>
            </w:r>
          </w:p>
        </w:tc>
        <w:tc>
          <w:tcPr>
            <w:tcW w:w="123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方正仿宋简体" w:cs="Times New Roman"/>
                <w:color w:val="auto"/>
                <w:kern w:val="0"/>
                <w:sz w:val="24"/>
                <w:szCs w:val="24"/>
                <w:u w:val="none"/>
                <w:vertAlign w:val="baseline"/>
                <w:lang w:val="en-US" w:eastAsia="zh-CN" w:bidi="ar"/>
              </w:rPr>
            </w:pPr>
            <w:r>
              <w:rPr>
                <w:rFonts w:hint="default" w:ascii="Times New Roman" w:hAnsi="Times New Roman" w:eastAsia="方正仿宋简体" w:cs="Times New Roman"/>
                <w:color w:val="auto"/>
                <w:sz w:val="24"/>
                <w:szCs w:val="24"/>
                <w:u w:val="none"/>
                <w:vertAlign w:val="baseline"/>
                <w:lang w:val="en-US" w:eastAsia="zh-CN"/>
              </w:rPr>
              <w:t>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887"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起付</w:t>
            </w:r>
            <w:r>
              <w:rPr>
                <w:rFonts w:hint="eastAsia" w:ascii="Times New Roman" w:hAnsi="Times New Roman" w:eastAsia="方正仿宋简体" w:cs="Times New Roman"/>
                <w:color w:val="auto"/>
                <w:sz w:val="24"/>
                <w:szCs w:val="24"/>
                <w:u w:val="none"/>
                <w:vertAlign w:val="baseline"/>
                <w:lang w:val="en-US" w:eastAsia="zh-CN"/>
              </w:rPr>
              <w:t>标准</w:t>
            </w:r>
            <w:r>
              <w:rPr>
                <w:rFonts w:hint="eastAsia" w:eastAsia="方正仿宋简体" w:cs="Times New Roman"/>
                <w:color w:val="auto"/>
                <w:sz w:val="24"/>
                <w:szCs w:val="24"/>
                <w:u w:val="none"/>
                <w:vertAlign w:val="baseline"/>
                <w:lang w:val="en-US" w:eastAsia="zh-CN"/>
              </w:rPr>
              <w:t>（元）</w:t>
            </w:r>
          </w:p>
        </w:tc>
        <w:tc>
          <w:tcPr>
            <w:tcW w:w="1788"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700</w:t>
            </w:r>
          </w:p>
        </w:tc>
        <w:tc>
          <w:tcPr>
            <w:tcW w:w="2175"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300</w:t>
            </w:r>
          </w:p>
        </w:tc>
        <w:tc>
          <w:tcPr>
            <w:tcW w:w="2565" w:type="dxa"/>
            <w:gridSpan w:val="2"/>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645" w:type="dxa"/>
            <w:vMerge w:val="restart"/>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w w:val="80"/>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例</w:t>
            </w:r>
          </w:p>
        </w:tc>
        <w:tc>
          <w:tcPr>
            <w:tcW w:w="2242"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个人自付政策范围内医疗费用（不含起付标准）</w:t>
            </w:r>
            <w:r>
              <w:rPr>
                <w:rFonts w:hint="default" w:ascii="Times New Roman" w:hAnsi="Times New Roman" w:eastAsia="方正仿宋简体" w:cs="Times New Roman"/>
                <w:color w:val="auto"/>
                <w:sz w:val="24"/>
                <w:szCs w:val="24"/>
                <w:u w:val="none"/>
                <w:vertAlign w:val="baseline"/>
                <w:lang w:val="en-US" w:eastAsia="zh-CN"/>
              </w:rPr>
              <w:t>1</w:t>
            </w:r>
            <w:r>
              <w:rPr>
                <w:rFonts w:hint="eastAsia" w:ascii="Times New Roman" w:hAnsi="Times New Roman" w:eastAsia="方正仿宋简体" w:cs="Times New Roman"/>
                <w:color w:val="auto"/>
                <w:sz w:val="24"/>
                <w:szCs w:val="24"/>
                <w:u w:val="none"/>
                <w:vertAlign w:val="baseline"/>
                <w:lang w:val="en-US" w:eastAsia="zh-CN"/>
              </w:rPr>
              <w:t>0</w:t>
            </w:r>
            <w:r>
              <w:rPr>
                <w:rFonts w:hint="default" w:ascii="Times New Roman" w:hAnsi="Times New Roman" w:eastAsia="方正仿宋简体" w:cs="Times New Roman"/>
                <w:color w:val="auto"/>
                <w:sz w:val="24"/>
                <w:szCs w:val="24"/>
                <w:u w:val="none"/>
                <w:vertAlign w:val="baseline"/>
                <w:lang w:val="en-US" w:eastAsia="zh-CN"/>
              </w:rPr>
              <w:t>00</w:t>
            </w:r>
            <w:r>
              <w:rPr>
                <w:rFonts w:hint="eastAsia" w:ascii="Times New Roman" w:hAnsi="Times New Roman" w:eastAsia="方正仿宋简体" w:cs="Times New Roman"/>
                <w:color w:val="auto"/>
                <w:sz w:val="24"/>
                <w:szCs w:val="24"/>
                <w:u w:val="none"/>
                <w:vertAlign w:val="baseline"/>
                <w:lang w:val="en-US" w:eastAsia="zh-CN"/>
              </w:rPr>
              <w:t>元（含）以内的</w:t>
            </w:r>
          </w:p>
        </w:tc>
        <w:tc>
          <w:tcPr>
            <w:tcW w:w="903"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80%</w:t>
            </w:r>
          </w:p>
        </w:tc>
        <w:tc>
          <w:tcPr>
            <w:tcW w:w="88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85%</w:t>
            </w:r>
          </w:p>
        </w:tc>
        <w:tc>
          <w:tcPr>
            <w:tcW w:w="1080"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85%</w:t>
            </w:r>
          </w:p>
        </w:tc>
        <w:tc>
          <w:tcPr>
            <w:tcW w:w="109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90%</w:t>
            </w:r>
          </w:p>
        </w:tc>
        <w:tc>
          <w:tcPr>
            <w:tcW w:w="1330"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90%</w:t>
            </w:r>
          </w:p>
        </w:tc>
        <w:tc>
          <w:tcPr>
            <w:tcW w:w="123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default" w:ascii="Times New Roman" w:hAnsi="Times New Roman" w:eastAsia="方正仿宋简体" w:cs="Times New Roman"/>
                <w:color w:val="auto"/>
                <w:sz w:val="24"/>
                <w:szCs w:val="24"/>
                <w:u w:val="none"/>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645" w:type="dxa"/>
            <w:vMerge w:val="continue"/>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方正仿宋简体" w:cs="Times New Roman"/>
                <w:color w:val="auto"/>
                <w:sz w:val="24"/>
                <w:szCs w:val="24"/>
                <w:u w:val="none"/>
                <w:vertAlign w:val="baseline"/>
                <w:lang w:val="en-US" w:eastAsia="zh-CN"/>
              </w:rPr>
            </w:pPr>
          </w:p>
        </w:tc>
        <w:tc>
          <w:tcPr>
            <w:tcW w:w="2242"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个人自付政策范围内医疗费用（不含起付标准）超过</w:t>
            </w:r>
            <w:r>
              <w:rPr>
                <w:rFonts w:hint="default" w:ascii="Times New Roman" w:hAnsi="Times New Roman" w:eastAsia="方正仿宋简体" w:cs="Times New Roman"/>
                <w:color w:val="auto"/>
                <w:sz w:val="24"/>
                <w:szCs w:val="24"/>
                <w:u w:val="none"/>
                <w:vertAlign w:val="baseline"/>
                <w:lang w:val="en-US" w:eastAsia="zh-CN"/>
              </w:rPr>
              <w:t>1</w:t>
            </w:r>
            <w:r>
              <w:rPr>
                <w:rFonts w:hint="eastAsia" w:ascii="Times New Roman" w:hAnsi="Times New Roman" w:eastAsia="方正仿宋简体" w:cs="Times New Roman"/>
                <w:color w:val="auto"/>
                <w:sz w:val="24"/>
                <w:szCs w:val="24"/>
                <w:u w:val="none"/>
                <w:vertAlign w:val="baseline"/>
                <w:lang w:val="en-US" w:eastAsia="zh-CN"/>
              </w:rPr>
              <w:t>0</w:t>
            </w:r>
            <w:r>
              <w:rPr>
                <w:rFonts w:hint="default" w:ascii="Times New Roman" w:hAnsi="Times New Roman" w:eastAsia="方正仿宋简体" w:cs="Times New Roman"/>
                <w:color w:val="auto"/>
                <w:sz w:val="24"/>
                <w:szCs w:val="24"/>
                <w:u w:val="none"/>
                <w:vertAlign w:val="baseline"/>
                <w:lang w:val="en-US" w:eastAsia="zh-CN"/>
              </w:rPr>
              <w:t>00</w:t>
            </w:r>
            <w:r>
              <w:rPr>
                <w:rFonts w:hint="eastAsia" w:ascii="Times New Roman" w:hAnsi="Times New Roman" w:eastAsia="方正仿宋简体" w:cs="Times New Roman"/>
                <w:color w:val="auto"/>
                <w:sz w:val="24"/>
                <w:szCs w:val="24"/>
                <w:u w:val="none"/>
                <w:vertAlign w:val="baseline"/>
                <w:lang w:val="en-US" w:eastAsia="zh-CN"/>
              </w:rPr>
              <w:t>元的</w:t>
            </w:r>
          </w:p>
        </w:tc>
        <w:tc>
          <w:tcPr>
            <w:tcW w:w="903"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90%</w:t>
            </w:r>
          </w:p>
        </w:tc>
        <w:tc>
          <w:tcPr>
            <w:tcW w:w="88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93%</w:t>
            </w:r>
          </w:p>
        </w:tc>
        <w:tc>
          <w:tcPr>
            <w:tcW w:w="1080"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93%</w:t>
            </w:r>
          </w:p>
        </w:tc>
        <w:tc>
          <w:tcPr>
            <w:tcW w:w="109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96%</w:t>
            </w:r>
          </w:p>
        </w:tc>
        <w:tc>
          <w:tcPr>
            <w:tcW w:w="1330"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96%</w:t>
            </w:r>
          </w:p>
        </w:tc>
        <w:tc>
          <w:tcPr>
            <w:tcW w:w="1235"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ascii="Times New Roman" w:hAnsi="Times New Roman" w:eastAsia="方正仿宋简体" w:cs="Times New Roman"/>
                <w:color w:val="auto"/>
                <w:sz w:val="24"/>
                <w:szCs w:val="24"/>
                <w:u w:val="none"/>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415" w:type="dxa"/>
            <w:gridSpan w:val="8"/>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default" w:ascii="Times New Roman" w:hAnsi="Times New Roman" w:eastAsia="方正仿宋简体" w:cs="Times New Roman"/>
                <w:color w:val="auto"/>
                <w:sz w:val="24"/>
                <w:szCs w:val="24"/>
                <w:u w:val="none"/>
                <w:vertAlign w:val="baseline"/>
                <w:lang w:val="en-US" w:eastAsia="zh-CN"/>
              </w:rPr>
            </w:pPr>
            <w:r>
              <w:rPr>
                <w:rFonts w:hint="eastAsia" w:eastAsia="方正仿宋简体" w:cs="Times New Roman"/>
                <w:color w:val="auto"/>
                <w:sz w:val="24"/>
                <w:szCs w:val="24"/>
                <w:u w:val="none"/>
                <w:vertAlign w:val="baseline"/>
                <w:lang w:val="en-US" w:eastAsia="zh-CN"/>
              </w:rPr>
              <w:t>职工医保参保对象</w:t>
            </w:r>
            <w:r>
              <w:rPr>
                <w:rFonts w:hint="default" w:ascii="Times New Roman" w:hAnsi="Times New Roman" w:eastAsia="方正仿宋简体" w:cs="Times New Roman"/>
                <w:color w:val="auto"/>
                <w:sz w:val="24"/>
                <w:szCs w:val="24"/>
                <w:u w:val="none"/>
                <w:vertAlign w:val="baseline"/>
                <w:lang w:val="en-US" w:eastAsia="zh-CN"/>
              </w:rPr>
              <w:t>在市域外发生的医疗费用按本市市属同等级医疗机构报销额度的92%报销（异地安置退休、异地长期居住人员、常驻异地工作人员和实施“厦漳泉同城化”除外）。</w:t>
            </w:r>
          </w:p>
        </w:tc>
      </w:tr>
    </w:tbl>
    <w:p>
      <w:pPr>
        <w:keepNext w:val="0"/>
        <w:keepLines w:val="0"/>
        <w:pageBreakBefore w:val="0"/>
        <w:numPr>
          <w:ilvl w:val="0"/>
          <w:numId w:val="1"/>
        </w:numPr>
        <w:kinsoku/>
        <w:wordWrap/>
        <w:overflowPunct/>
        <w:topLinePunct w:val="0"/>
        <w:autoSpaceDE/>
        <w:autoSpaceDN/>
        <w:bidi w:val="0"/>
        <w:adjustRightInd/>
        <w:snapToGrid w:val="0"/>
        <w:spacing w:line="560" w:lineRule="exact"/>
        <w:ind w:firstLine="632" w:firstLineChars="200"/>
        <w:textAlignment w:val="auto"/>
        <w:rPr>
          <w:rFonts w:ascii="黑体" w:hAnsi="黑体" w:eastAsia="黑体" w:cs="黑体"/>
          <w:color w:val="auto"/>
          <w:w w:val="99"/>
          <w:sz w:val="32"/>
          <w:szCs w:val="32"/>
          <w:highlight w:val="none"/>
        </w:rPr>
      </w:pPr>
      <w:r>
        <w:rPr>
          <w:rFonts w:hint="eastAsia" w:ascii="黑体" w:hAnsi="黑体" w:eastAsia="黑体" w:cs="黑体"/>
          <w:color w:val="auto"/>
          <w:w w:val="99"/>
          <w:sz w:val="32"/>
          <w:szCs w:val="32"/>
          <w:highlight w:val="none"/>
          <w:lang w:eastAsia="zh-CN"/>
        </w:rPr>
        <w:t>落实职工医保门诊共济保障机制改革政策</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w:t>
      </w:r>
      <w:r>
        <w:rPr>
          <w:rFonts w:hint="eastAsia" w:ascii="仿宋" w:hAnsi="仿宋" w:eastAsia="仿宋" w:cs="仿宋"/>
          <w:color w:val="auto"/>
          <w:kern w:val="2"/>
          <w:sz w:val="32"/>
          <w:szCs w:val="32"/>
          <w:highlight w:val="none"/>
          <w:lang w:val="en-US" w:eastAsia="zh-CN" w:bidi="ar-SA"/>
        </w:rPr>
        <w:t>省上统一部署，于2024年3月31日前完成职工基本医疗保险门诊共济保障机制改革工作任务，</w:t>
      </w:r>
      <w:r>
        <w:rPr>
          <w:rFonts w:hint="eastAsia" w:ascii="仿宋" w:hAnsi="仿宋" w:eastAsia="仿宋" w:cs="仿宋"/>
          <w:color w:val="auto"/>
          <w:kern w:val="0"/>
          <w:sz w:val="32"/>
          <w:szCs w:val="32"/>
          <w:lang w:val="en-US" w:eastAsia="zh-CN" w:bidi="ar"/>
        </w:rPr>
        <w:t>同时</w:t>
      </w:r>
      <w:r>
        <w:rPr>
          <w:rFonts w:hint="eastAsia" w:ascii="仿宋" w:hAnsi="仿宋" w:eastAsia="仿宋" w:cs="仿宋"/>
          <w:color w:val="auto"/>
          <w:kern w:val="2"/>
          <w:sz w:val="32"/>
          <w:szCs w:val="32"/>
          <w:highlight w:val="none"/>
          <w:lang w:val="en-US" w:eastAsia="zh-CN" w:bidi="ar-SA"/>
        </w:rPr>
        <w:t>全面实行门诊按费用保障。</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工作要求</w:t>
      </w:r>
    </w:p>
    <w:p>
      <w:pPr>
        <w:keepNext w:val="0"/>
        <w:keepLines w:val="0"/>
        <w:pageBreakBefore w:val="0"/>
        <w:numPr>
          <w:ilvl w:val="0"/>
          <w:numId w:val="0"/>
        </w:numPr>
        <w:kinsoku/>
        <w:wordWrap/>
        <w:overflowPunct/>
        <w:topLinePunct w:val="0"/>
        <w:autoSpaceDE/>
        <w:autoSpaceDN/>
        <w:bidi w:val="0"/>
        <w:adjustRightInd/>
        <w:snapToGrid w:val="0"/>
        <w:spacing w:line="560" w:lineRule="exact"/>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 xml:space="preserve"> </w:t>
      </w:r>
      <w:r>
        <w:rPr>
          <w:rFonts w:hint="eastAsia" w:ascii="楷体" w:hAnsi="楷体" w:eastAsia="楷体" w:cs="楷体"/>
          <w:color w:val="auto"/>
          <w:kern w:val="2"/>
          <w:sz w:val="32"/>
          <w:szCs w:val="32"/>
          <w:highlight w:val="none"/>
          <w:lang w:val="en-US" w:eastAsia="zh-CN" w:bidi="ar-SA"/>
        </w:rPr>
        <w:t>（一）进一步提高思想认识。</w:t>
      </w:r>
      <w:r>
        <w:rPr>
          <w:rFonts w:hint="eastAsia" w:ascii="仿宋" w:hAnsi="仿宋" w:eastAsia="仿宋" w:cs="仿宋"/>
          <w:color w:val="auto"/>
          <w:kern w:val="2"/>
          <w:sz w:val="32"/>
          <w:szCs w:val="32"/>
          <w:highlight w:val="none"/>
          <w:lang w:val="en-US" w:eastAsia="zh-CN" w:bidi="ar-SA"/>
        </w:rPr>
        <w:t>各级各部门要高度重视，充分认识职工医保门诊共济保障改革的重大意义，稳步推进各项改革工作任务，切实增强职工医保门诊保障水平，减轻参保职工门诊医疗费用的负担。</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textAlignment w:val="auto"/>
        <w:rPr>
          <w:rFonts w:hint="eastAsia" w:ascii="仿宋" w:hAnsi="仿宋" w:eastAsia="仿宋" w:cs="仿宋"/>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bidi="ar-SA"/>
        </w:rPr>
        <w:t>（二）加强医保基金使用监管。</w:t>
      </w:r>
      <w:r>
        <w:rPr>
          <w:rFonts w:hint="eastAsia" w:ascii="仿宋" w:hAnsi="仿宋" w:eastAsia="仿宋" w:cs="仿宋"/>
          <w:color w:val="auto"/>
          <w:kern w:val="2"/>
          <w:sz w:val="32"/>
          <w:szCs w:val="32"/>
          <w:highlight w:val="none"/>
          <w:lang w:val="en-US" w:eastAsia="zh-CN" w:bidi="ar-SA"/>
        </w:rPr>
        <w:t>各定点医疗机构要规范医疗服务行为，做到合理诊疗、合理检查、合理用药，避免医疗浪费。各级医保部</w:t>
      </w:r>
      <w:r>
        <w:rPr>
          <w:rFonts w:hint="eastAsia" w:ascii="仿宋" w:hAnsi="仿宋" w:eastAsia="仿宋" w:cs="仿宋"/>
          <w:color w:val="auto"/>
          <w:sz w:val="32"/>
          <w:szCs w:val="32"/>
          <w:highlight w:val="none"/>
          <w:lang w:val="en-US" w:eastAsia="zh-CN"/>
        </w:rPr>
        <w:t>门要</w:t>
      </w:r>
      <w:r>
        <w:rPr>
          <w:rFonts w:hint="eastAsia" w:ascii="仿宋" w:hAnsi="仿宋" w:eastAsia="仿宋" w:cs="仿宋"/>
          <w:color w:val="auto"/>
          <w:kern w:val="2"/>
          <w:sz w:val="32"/>
          <w:szCs w:val="32"/>
          <w:highlight w:val="none"/>
          <w:lang w:val="en-US" w:eastAsia="zh-CN" w:bidi="ar-SA"/>
        </w:rPr>
        <w:t>坚决查处冒名刷卡、过度诊疗、超量开药，以及将</w:t>
      </w:r>
      <w:r>
        <w:rPr>
          <w:rFonts w:hint="eastAsia" w:ascii="仿宋" w:hAnsi="仿宋" w:eastAsia="仿宋" w:cs="仿宋"/>
          <w:sz w:val="32"/>
          <w:szCs w:val="32"/>
          <w:lang w:val="en-US" w:eastAsia="zh-CN"/>
        </w:rPr>
        <w:t>养生保健消费、健康体检、非疾病购药、等非疾病费用纳入医保基金支付范围的</w:t>
      </w:r>
      <w:r>
        <w:rPr>
          <w:rFonts w:hint="eastAsia" w:ascii="仿宋" w:hAnsi="仿宋" w:eastAsia="仿宋" w:cs="仿宋"/>
          <w:color w:val="auto"/>
          <w:kern w:val="2"/>
          <w:sz w:val="32"/>
          <w:szCs w:val="32"/>
          <w:highlight w:val="none"/>
          <w:lang w:val="en-US" w:eastAsia="zh-CN" w:bidi="ar-SA"/>
        </w:rPr>
        <w:t>违法违规行为，</w:t>
      </w:r>
      <w:r>
        <w:rPr>
          <w:rFonts w:hint="eastAsia" w:ascii="仿宋" w:hAnsi="仿宋" w:eastAsia="仿宋" w:cs="仿宋"/>
          <w:color w:val="auto"/>
          <w:sz w:val="32"/>
          <w:szCs w:val="32"/>
          <w:highlight w:val="none"/>
          <w:lang w:val="en-US" w:eastAsia="zh-CN"/>
        </w:rPr>
        <w:t>加强医疗行为和医疗费用的监管，严厉打击欺诈骗保行为，做好基金运行情况监测和评估，确保基金安全高效、合理使用。</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楷体" w:hAnsi="楷体" w:eastAsia="楷体" w:cs="楷体"/>
          <w:color w:val="auto"/>
          <w:kern w:val="2"/>
          <w:sz w:val="32"/>
          <w:szCs w:val="32"/>
          <w:highlight w:val="none"/>
          <w:lang w:val="en-US" w:eastAsia="zh-CN" w:bidi="ar-SA"/>
        </w:rPr>
        <w:t>（三）做好医保信息化保障。</w:t>
      </w:r>
      <w:r>
        <w:rPr>
          <w:rFonts w:hint="eastAsia" w:ascii="仿宋" w:hAnsi="仿宋" w:eastAsia="仿宋" w:cs="仿宋"/>
          <w:color w:val="auto"/>
          <w:sz w:val="32"/>
          <w:szCs w:val="32"/>
          <w:highlight w:val="none"/>
          <w:lang w:val="en-US" w:eastAsia="zh-CN"/>
        </w:rPr>
        <w:t>市医保中心和各定点医疗机构要按照本通知要求，做好信息系统改造工作，确保</w:t>
      </w:r>
      <w:r>
        <w:rPr>
          <w:rFonts w:hint="eastAsia" w:ascii="仿宋" w:hAnsi="仿宋" w:eastAsia="仿宋" w:cs="仿宋"/>
          <w:color w:val="auto"/>
          <w:kern w:val="2"/>
          <w:sz w:val="32"/>
          <w:szCs w:val="32"/>
          <w:highlight w:val="none"/>
          <w:lang w:val="en-US" w:eastAsia="zh-CN" w:bidi="ar-SA"/>
        </w:rPr>
        <w:t>门诊医疗费用由病种保障向费用保障平稳过渡。</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textAlignment w:val="auto"/>
        <w:rPr>
          <w:rFonts w:hint="default" w:ascii="仿宋" w:hAnsi="仿宋" w:eastAsia="仿宋" w:cs="仿宋"/>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bidi="ar-SA"/>
        </w:rPr>
        <w:t>（四）强化宣传引导。</w:t>
      </w:r>
      <w:r>
        <w:rPr>
          <w:rFonts w:hint="eastAsia" w:ascii="仿宋" w:hAnsi="仿宋" w:eastAsia="仿宋" w:cs="仿宋"/>
          <w:color w:val="auto"/>
          <w:sz w:val="32"/>
          <w:szCs w:val="32"/>
          <w:highlight w:val="none"/>
          <w:lang w:val="en-US" w:eastAsia="zh-CN"/>
        </w:rPr>
        <w:t>各相关单位要加强职工医保门诊共济保障政策宣传工作，强化正面引导，全面准确解读国务院、省政府和我市的职工医保门诊共济保障改革政策，进一步凝聚改革共识，巩固扩大改革效果。</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其他</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i w:val="0"/>
          <w:iCs w:val="0"/>
          <w:caps w:val="0"/>
          <w:color w:val="auto"/>
          <w:spacing w:val="0"/>
          <w:sz w:val="32"/>
          <w:szCs w:val="32"/>
          <w:highlight w:val="none"/>
          <w:u w:val="none"/>
          <w:lang w:eastAsia="zh-CN"/>
        </w:rPr>
        <w:t>本通知自202</w:t>
      </w:r>
      <w:r>
        <w:rPr>
          <w:rFonts w:hint="eastAsia" w:ascii="仿宋" w:hAnsi="仿宋" w:eastAsia="仿宋" w:cs="仿宋"/>
          <w:i w:val="0"/>
          <w:iCs w:val="0"/>
          <w:caps w:val="0"/>
          <w:color w:val="auto"/>
          <w:spacing w:val="0"/>
          <w:sz w:val="32"/>
          <w:szCs w:val="32"/>
          <w:highlight w:val="none"/>
          <w:u w:val="none"/>
          <w:lang w:val="en-US" w:eastAsia="zh-CN"/>
        </w:rPr>
        <w:t>4</w:t>
      </w:r>
      <w:r>
        <w:rPr>
          <w:rFonts w:hint="eastAsia" w:ascii="仿宋" w:hAnsi="仿宋" w:eastAsia="仿宋" w:cs="仿宋"/>
          <w:i w:val="0"/>
          <w:iCs w:val="0"/>
          <w:caps w:val="0"/>
          <w:color w:val="auto"/>
          <w:spacing w:val="0"/>
          <w:sz w:val="32"/>
          <w:szCs w:val="32"/>
          <w:highlight w:val="none"/>
          <w:u w:val="none"/>
          <w:lang w:eastAsia="zh-CN"/>
        </w:rPr>
        <w:t>年</w:t>
      </w:r>
      <w:r>
        <w:rPr>
          <w:rFonts w:hint="eastAsia" w:ascii="仿宋" w:hAnsi="仿宋" w:eastAsia="仿宋" w:cs="仿宋"/>
          <w:i w:val="0"/>
          <w:iCs w:val="0"/>
          <w:caps w:val="0"/>
          <w:color w:val="auto"/>
          <w:spacing w:val="0"/>
          <w:sz w:val="32"/>
          <w:szCs w:val="32"/>
          <w:highlight w:val="none"/>
          <w:u w:val="none"/>
          <w:lang w:val="en-US" w:eastAsia="zh-CN"/>
        </w:rPr>
        <w:t>4</w:t>
      </w:r>
      <w:r>
        <w:rPr>
          <w:rFonts w:hint="eastAsia" w:ascii="仿宋" w:hAnsi="仿宋" w:eastAsia="仿宋" w:cs="仿宋"/>
          <w:i w:val="0"/>
          <w:iCs w:val="0"/>
          <w:caps w:val="0"/>
          <w:color w:val="auto"/>
          <w:spacing w:val="0"/>
          <w:sz w:val="32"/>
          <w:szCs w:val="32"/>
          <w:highlight w:val="none"/>
          <w:u w:val="none"/>
          <w:lang w:eastAsia="zh-CN"/>
        </w:rPr>
        <w:t>月</w:t>
      </w:r>
      <w:r>
        <w:rPr>
          <w:rFonts w:hint="eastAsia" w:ascii="仿宋" w:hAnsi="仿宋" w:eastAsia="仿宋" w:cs="仿宋"/>
          <w:i w:val="0"/>
          <w:iCs w:val="0"/>
          <w:caps w:val="0"/>
          <w:color w:val="auto"/>
          <w:spacing w:val="0"/>
          <w:sz w:val="32"/>
          <w:szCs w:val="32"/>
          <w:highlight w:val="none"/>
          <w:u w:val="none"/>
          <w:lang w:val="en-US" w:eastAsia="zh-CN"/>
        </w:rPr>
        <w:t>1</w:t>
      </w:r>
      <w:r>
        <w:rPr>
          <w:rFonts w:hint="eastAsia" w:ascii="仿宋" w:hAnsi="仿宋" w:eastAsia="仿宋" w:cs="仿宋"/>
          <w:i w:val="0"/>
          <w:iCs w:val="0"/>
          <w:caps w:val="0"/>
          <w:color w:val="auto"/>
          <w:spacing w:val="0"/>
          <w:sz w:val="32"/>
          <w:szCs w:val="32"/>
          <w:highlight w:val="none"/>
          <w:u w:val="none"/>
          <w:lang w:eastAsia="zh-CN"/>
        </w:rPr>
        <w:t>日起执行，有效期到</w:t>
      </w:r>
      <w:r>
        <w:rPr>
          <w:rFonts w:hint="eastAsia" w:ascii="仿宋" w:hAnsi="仿宋" w:eastAsia="仿宋" w:cs="仿宋"/>
          <w:i w:val="0"/>
          <w:iCs w:val="0"/>
          <w:caps w:val="0"/>
          <w:color w:val="auto"/>
          <w:spacing w:val="0"/>
          <w:sz w:val="32"/>
          <w:szCs w:val="32"/>
          <w:highlight w:val="none"/>
          <w:u w:val="none"/>
          <w:lang w:val="en-US" w:eastAsia="zh-CN"/>
        </w:rPr>
        <w:t>2027年3月9日。以往有关规定与本通知不一致的，以本通知为准。如遇到国家、省有关政策调整，从其规定。</w:t>
      </w:r>
    </w:p>
    <w:p/>
    <w:sectPr>
      <w:footerReference r:id="rId3" w:type="default"/>
      <w:pgSz w:w="11906" w:h="16838"/>
      <w:pgMar w:top="1440" w:right="1803" w:bottom="1440" w:left="1803"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NGJmZmVkMTVkM2U2NTVlNDEyMTJiYTZhZDAxMzYifQ=="/>
  </w:docVars>
  <w:rsids>
    <w:rsidRoot w:val="34540C1D"/>
    <w:rsid w:val="15F85E66"/>
    <w:rsid w:val="34540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宋体"/>
      <w:sz w:val="18"/>
      <w:szCs w:val="18"/>
    </w:rPr>
  </w:style>
  <w:style w:type="paragraph" w:styleId="3">
    <w:name w:val="Normal (Web)"/>
    <w:basedOn w:val="1"/>
    <w:autoRedefine/>
    <w:qFormat/>
    <w:uiPriority w:val="0"/>
    <w:pPr>
      <w:spacing w:before="100" w:beforeAutospacing="1" w:after="100" w:afterAutospacing="1"/>
      <w:jc w:val="left"/>
    </w:pPr>
    <w:rPr>
      <w:kern w:val="0"/>
      <w:sz w:val="24"/>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2024-03-04T09:24:00Z</dcterms:created>
  <dc:creator>洪奕芳</dc:creator>
  <cp:lastModifiedBy>洪奕芳</cp:lastModifiedBy>
  <dcterms:modified xsi:type="dcterms:W3CDTF">2024-03-04T09:31:45Z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EFFCE836CFEF45929C2CAD4D8D427A23_11</vt:lpwstr>
  </property>
</Properties>
</file>